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4D" w:rsidRPr="00146ED7" w:rsidRDefault="0072064D" w:rsidP="0072064D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146ED7">
        <w:rPr>
          <w:rFonts w:ascii="Times New Roman" w:hAnsi="Times New Roman" w:cs="Times New Roman"/>
          <w:sz w:val="24"/>
          <w:szCs w:val="24"/>
        </w:rPr>
        <w:t xml:space="preserve">"Preparing for the </w:t>
      </w:r>
      <w:proofErr w:type="spellStart"/>
      <w:r w:rsidRPr="00146ED7">
        <w:rPr>
          <w:rFonts w:ascii="Times New Roman" w:hAnsi="Times New Roman" w:cs="Times New Roman"/>
          <w:sz w:val="24"/>
          <w:szCs w:val="24"/>
        </w:rPr>
        <w:t>Promuex</w:t>
      </w:r>
      <w:proofErr w:type="spellEnd"/>
      <w:r w:rsidRPr="00146ED7">
        <w:rPr>
          <w:rFonts w:ascii="Times New Roman" w:hAnsi="Times New Roman" w:cs="Times New Roman"/>
          <w:sz w:val="24"/>
          <w:szCs w:val="24"/>
        </w:rPr>
        <w:t xml:space="preserve"> Inc. Global Professional Certificate: Essential Knowledge and Skills Checklist"</w:t>
      </w:r>
    </w:p>
    <w:p w:rsidR="0072064D" w:rsidRPr="00146ED7" w:rsidRDefault="0072064D" w:rsidP="0072064D">
      <w:pPr>
        <w:pStyle w:val="NormalWeb"/>
        <w:spacing w:line="276" w:lineRule="auto"/>
        <w:jc w:val="both"/>
      </w:pPr>
      <w:r w:rsidRPr="00146ED7">
        <w:rPr>
          <w:rStyle w:val="Strong"/>
        </w:rPr>
        <w:t>Overview:</w:t>
      </w:r>
      <w:r w:rsidRPr="00146ED7">
        <w:t xml:space="preserve"> The </w:t>
      </w:r>
      <w:proofErr w:type="spellStart"/>
      <w:r w:rsidRPr="00146ED7">
        <w:t>Promuex</w:t>
      </w:r>
      <w:proofErr w:type="spellEnd"/>
      <w:r w:rsidRPr="00146ED7">
        <w:t xml:space="preserve"> (Canada) Global Professional Certificate recognizes expertise across specialized fields like AI, </w:t>
      </w:r>
      <w:proofErr w:type="spellStart"/>
      <w:r w:rsidRPr="00146ED7">
        <w:t>cybersecurity</w:t>
      </w:r>
      <w:proofErr w:type="spellEnd"/>
      <w:r w:rsidRPr="00146ED7">
        <w:t>, healthcare, and finance. To excel, you’ll need foundational skills, knowledge of industry tools, and practical experience. Here’s what to focus on before certification:</w:t>
      </w:r>
    </w:p>
    <w:p w:rsidR="00E66891" w:rsidRPr="00146ED7" w:rsidRDefault="00E66891" w:rsidP="00146ED7">
      <w:pPr>
        <w:pStyle w:val="Heading1"/>
        <w:shd w:val="clear" w:color="auto" w:fill="FFFFFF"/>
        <w:spacing w:before="274" w:after="206"/>
        <w:jc w:val="center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146ED7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  <w:highlight w:val="yellow"/>
        </w:rPr>
        <w:t>Master Entrepreneurship Professional Certification</w:t>
      </w:r>
    </w:p>
    <w:p w:rsidR="00E66891" w:rsidRPr="00146ED7" w:rsidRDefault="00E66891" w:rsidP="00E66891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proofErr w:type="spellStart"/>
      <w:r w:rsidRPr="00146ED7">
        <w:rPr>
          <w:rStyle w:val="Strong"/>
          <w:color w:val="404040"/>
        </w:rPr>
        <w:t>Promuex</w:t>
      </w:r>
      <w:proofErr w:type="spellEnd"/>
      <w:r w:rsidRPr="00146ED7">
        <w:rPr>
          <w:rStyle w:val="Strong"/>
          <w:color w:val="404040"/>
        </w:rPr>
        <w:t xml:space="preserve"> Inc. Global Business Leadership Program</w:t>
      </w:r>
    </w:p>
    <w:p w:rsidR="00E66891" w:rsidRPr="00146ED7" w:rsidRDefault="00E66891" w:rsidP="00E66891">
      <w:pPr>
        <w:pStyle w:val="Heading2"/>
        <w:shd w:val="clear" w:color="auto" w:fill="FFFFFF"/>
        <w:spacing w:before="274" w:after="206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146ED7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Program Overview</w:t>
      </w:r>
    </w:p>
    <w:p w:rsidR="00E66891" w:rsidRPr="00146ED7" w:rsidRDefault="00E66891" w:rsidP="00E66891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146ED7">
        <w:rPr>
          <w:color w:val="404040"/>
        </w:rPr>
        <w:t>This 250-hour intensive certification equips participants with the complete skill set to launch, fund, and scale successful ventures through a hands-on, mentor-driven curriculum.</w:t>
      </w:r>
    </w:p>
    <w:p w:rsidR="00E66891" w:rsidRPr="00146ED7" w:rsidRDefault="00E66891" w:rsidP="00E66891">
      <w:pPr>
        <w:pStyle w:val="Heading3"/>
        <w:shd w:val="clear" w:color="auto" w:fill="FFFFFF"/>
        <w:spacing w:before="274" w:beforeAutospacing="0" w:after="206" w:afterAutospacing="0"/>
        <w:rPr>
          <w:b w:val="0"/>
          <w:bCs w:val="0"/>
          <w:color w:val="404040"/>
          <w:sz w:val="24"/>
          <w:szCs w:val="24"/>
        </w:rPr>
      </w:pPr>
      <w:r w:rsidRPr="00146ED7">
        <w:rPr>
          <w:rStyle w:val="Strong"/>
          <w:b/>
          <w:bCs/>
          <w:color w:val="404040"/>
          <w:sz w:val="24"/>
          <w:szCs w:val="24"/>
        </w:rPr>
        <w:t>Core Competencies Developed</w:t>
      </w:r>
    </w:p>
    <w:p w:rsidR="00E66891" w:rsidRPr="00146ED7" w:rsidRDefault="00E66891" w:rsidP="0024773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rStyle w:val="Strong"/>
          <w:color w:val="404040"/>
        </w:rPr>
        <w:t>Opportunity Identification &amp; Validation</w:t>
      </w:r>
    </w:p>
    <w:p w:rsidR="00E66891" w:rsidRPr="00146ED7" w:rsidRDefault="00E66891" w:rsidP="0024773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rStyle w:val="Strong"/>
          <w:color w:val="404040"/>
        </w:rPr>
        <w:t>Business Model Design &amp; Financial Planning</w:t>
      </w:r>
    </w:p>
    <w:p w:rsidR="00E66891" w:rsidRPr="00146ED7" w:rsidRDefault="00E66891" w:rsidP="0024773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rStyle w:val="Strong"/>
          <w:color w:val="404040"/>
        </w:rPr>
        <w:t>Funding Strategies &amp; Investor Relations</w:t>
      </w:r>
    </w:p>
    <w:p w:rsidR="00E66891" w:rsidRPr="00146ED7" w:rsidRDefault="00E66891" w:rsidP="0024773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rStyle w:val="Strong"/>
          <w:color w:val="404040"/>
        </w:rPr>
        <w:t>Growth Execution &amp; Leadership</w:t>
      </w:r>
    </w:p>
    <w:p w:rsidR="00E66891" w:rsidRPr="00146ED7" w:rsidRDefault="00E66891" w:rsidP="0024773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rStyle w:val="Strong"/>
          <w:color w:val="404040"/>
        </w:rPr>
        <w:t>Exit Strategy Development</w:t>
      </w:r>
    </w:p>
    <w:p w:rsidR="00E66891" w:rsidRPr="00146ED7" w:rsidRDefault="00E66891" w:rsidP="00E66891">
      <w:pPr>
        <w:pStyle w:val="Heading2"/>
        <w:shd w:val="clear" w:color="auto" w:fill="FFFFFF"/>
        <w:spacing w:before="274" w:after="206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146ED7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Detailed Curriculum</w:t>
      </w:r>
    </w:p>
    <w:p w:rsidR="00E66891" w:rsidRPr="00146ED7" w:rsidRDefault="00E66891" w:rsidP="00E66891">
      <w:pPr>
        <w:pStyle w:val="Heading3"/>
        <w:shd w:val="clear" w:color="auto" w:fill="FFFFFF"/>
        <w:spacing w:before="274" w:beforeAutospacing="0" w:after="206" w:afterAutospacing="0"/>
        <w:rPr>
          <w:b w:val="0"/>
          <w:bCs w:val="0"/>
          <w:color w:val="404040"/>
          <w:sz w:val="24"/>
          <w:szCs w:val="24"/>
        </w:rPr>
      </w:pPr>
      <w:r w:rsidRPr="00146ED7">
        <w:rPr>
          <w:rStyle w:val="Strong"/>
          <w:b/>
          <w:bCs/>
          <w:color w:val="404040"/>
          <w:sz w:val="24"/>
          <w:szCs w:val="24"/>
        </w:rPr>
        <w:t xml:space="preserve">Module 1: Foundations of Entrepreneurship </w:t>
      </w:r>
    </w:p>
    <w:p w:rsidR="00E66891" w:rsidRPr="00146ED7" w:rsidRDefault="00E66891" w:rsidP="00E66891">
      <w:pPr>
        <w:pStyle w:val="Heading4"/>
        <w:shd w:val="clear" w:color="auto" w:fill="FFFFFF"/>
        <w:spacing w:before="274" w:after="206" w:line="429" w:lineRule="atLeast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146ED7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Unit 1.1: Entrepreneurial Mindset</w:t>
      </w:r>
    </w:p>
    <w:p w:rsidR="00E66891" w:rsidRPr="00146ED7" w:rsidRDefault="00E66891" w:rsidP="00247738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Traits of successful founders (Grit Index assessment)</w:t>
      </w:r>
    </w:p>
    <w:p w:rsidR="00E66891" w:rsidRPr="00146ED7" w:rsidRDefault="00E66891" w:rsidP="00247738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lastRenderedPageBreak/>
        <w:t>Opportunity recognition frameworks</w:t>
      </w:r>
    </w:p>
    <w:p w:rsidR="00E66891" w:rsidRPr="00146ED7" w:rsidRDefault="00E66891" w:rsidP="00247738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Risk management strategies</w:t>
      </w:r>
    </w:p>
    <w:p w:rsidR="00E66891" w:rsidRPr="00146ED7" w:rsidRDefault="00E66891" w:rsidP="00247738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Ethical decision-making models</w:t>
      </w:r>
    </w:p>
    <w:p w:rsidR="00E66891" w:rsidRPr="00146ED7" w:rsidRDefault="00E66891" w:rsidP="00E66891">
      <w:pPr>
        <w:pStyle w:val="Heading4"/>
        <w:shd w:val="clear" w:color="auto" w:fill="FFFFFF"/>
        <w:spacing w:before="274" w:after="206" w:line="429" w:lineRule="atLeast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146ED7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Unit 1.2: Market Validation</w:t>
      </w:r>
    </w:p>
    <w:p w:rsidR="00E66891" w:rsidRPr="00146ED7" w:rsidRDefault="00E66891" w:rsidP="00247738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Customer discovery techniques</w:t>
      </w:r>
    </w:p>
    <w:p w:rsidR="00E66891" w:rsidRPr="00146ED7" w:rsidRDefault="00E66891" w:rsidP="00247738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Jobs-To-Be-Done framework</w:t>
      </w:r>
    </w:p>
    <w:p w:rsidR="00E66891" w:rsidRPr="00146ED7" w:rsidRDefault="00E66891" w:rsidP="00247738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Competitive analysis matrices</w:t>
      </w:r>
    </w:p>
    <w:p w:rsidR="00E66891" w:rsidRPr="00146ED7" w:rsidRDefault="00E66891" w:rsidP="00247738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Market sizing methodologies (TAM/SAM/SOM)</w:t>
      </w:r>
    </w:p>
    <w:p w:rsidR="00E66891" w:rsidRPr="00146ED7" w:rsidRDefault="00E66891" w:rsidP="00E66891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146ED7">
        <w:rPr>
          <w:rStyle w:val="Strong"/>
          <w:color w:val="404040"/>
        </w:rPr>
        <w:t>Workshop:</w:t>
      </w:r>
      <w:r w:rsidRPr="00146ED7">
        <w:rPr>
          <w:color w:val="404040"/>
        </w:rPr>
        <w:t> Conduct 50 customer interviews and analyze data using AI tools</w:t>
      </w:r>
    </w:p>
    <w:p w:rsidR="00E66891" w:rsidRPr="00146ED7" w:rsidRDefault="00E66891" w:rsidP="00E66891">
      <w:pPr>
        <w:pStyle w:val="Heading3"/>
        <w:shd w:val="clear" w:color="auto" w:fill="FFFFFF"/>
        <w:spacing w:before="274" w:beforeAutospacing="0" w:after="206" w:afterAutospacing="0"/>
        <w:rPr>
          <w:b w:val="0"/>
          <w:bCs w:val="0"/>
          <w:color w:val="404040"/>
          <w:sz w:val="24"/>
          <w:szCs w:val="24"/>
        </w:rPr>
      </w:pPr>
      <w:r w:rsidRPr="00146ED7">
        <w:rPr>
          <w:rStyle w:val="Strong"/>
          <w:b/>
          <w:bCs/>
          <w:color w:val="404040"/>
          <w:sz w:val="24"/>
          <w:szCs w:val="24"/>
        </w:rPr>
        <w:t xml:space="preserve">Module 2: Business Design </w:t>
      </w:r>
    </w:p>
    <w:p w:rsidR="00E66891" w:rsidRPr="00146ED7" w:rsidRDefault="00E66891" w:rsidP="00E66891">
      <w:pPr>
        <w:pStyle w:val="Heading4"/>
        <w:shd w:val="clear" w:color="auto" w:fill="FFFFFF"/>
        <w:spacing w:before="274" w:after="206" w:line="429" w:lineRule="atLeast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146ED7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Unit 2.1: Business Modeling</w:t>
      </w:r>
    </w:p>
    <w:p w:rsidR="00E66891" w:rsidRPr="00146ED7" w:rsidRDefault="00E66891" w:rsidP="00247738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Business Model Canvas mastery</w:t>
      </w:r>
    </w:p>
    <w:p w:rsidR="00E66891" w:rsidRPr="00146ED7" w:rsidRDefault="00E66891" w:rsidP="00247738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Value proposition design</w:t>
      </w:r>
    </w:p>
    <w:p w:rsidR="00E66891" w:rsidRPr="00146ED7" w:rsidRDefault="00E66891" w:rsidP="00247738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Revenue model innovation</w:t>
      </w:r>
    </w:p>
    <w:p w:rsidR="00E66891" w:rsidRPr="00146ED7" w:rsidRDefault="00E66891" w:rsidP="00247738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Pricing strategy development</w:t>
      </w:r>
    </w:p>
    <w:p w:rsidR="00E66891" w:rsidRPr="00146ED7" w:rsidRDefault="00E66891" w:rsidP="00E66891">
      <w:pPr>
        <w:pStyle w:val="Heading4"/>
        <w:shd w:val="clear" w:color="auto" w:fill="FFFFFF"/>
        <w:spacing w:before="274" w:after="206" w:line="429" w:lineRule="atLeast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146ED7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Unit 2.2: Financial Architecture</w:t>
      </w:r>
    </w:p>
    <w:p w:rsidR="00E66891" w:rsidRPr="00146ED7" w:rsidRDefault="00E66891" w:rsidP="00247738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3-statement financial modeling</w:t>
      </w:r>
    </w:p>
    <w:p w:rsidR="00E66891" w:rsidRPr="00146ED7" w:rsidRDefault="00E66891" w:rsidP="00247738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Unit economics analysis</w:t>
      </w:r>
    </w:p>
    <w:p w:rsidR="00E66891" w:rsidRPr="00146ED7" w:rsidRDefault="00E66891" w:rsidP="00247738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Cash flow management</w:t>
      </w:r>
    </w:p>
    <w:p w:rsidR="00E66891" w:rsidRPr="00146ED7" w:rsidRDefault="00E66891" w:rsidP="00247738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Scenario planning</w:t>
      </w:r>
    </w:p>
    <w:p w:rsidR="00E66891" w:rsidRPr="00146ED7" w:rsidRDefault="00E66891" w:rsidP="00E66891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146ED7">
        <w:rPr>
          <w:rStyle w:val="Strong"/>
          <w:color w:val="404040"/>
        </w:rPr>
        <w:lastRenderedPageBreak/>
        <w:t>Lab:</w:t>
      </w:r>
      <w:r w:rsidRPr="00146ED7">
        <w:rPr>
          <w:color w:val="404040"/>
        </w:rPr>
        <w:t xml:space="preserve"> Build financial model for </w:t>
      </w:r>
      <w:proofErr w:type="spellStart"/>
      <w:r w:rsidRPr="00146ED7">
        <w:rPr>
          <w:color w:val="404040"/>
        </w:rPr>
        <w:t>SaaS</w:t>
      </w:r>
      <w:proofErr w:type="spellEnd"/>
      <w:r w:rsidRPr="00146ED7">
        <w:rPr>
          <w:color w:val="404040"/>
        </w:rPr>
        <w:t xml:space="preserve"> vs. Marketplace business models</w:t>
      </w:r>
    </w:p>
    <w:p w:rsidR="00E66891" w:rsidRPr="00146ED7" w:rsidRDefault="00E66891" w:rsidP="00E66891">
      <w:pPr>
        <w:pStyle w:val="Heading3"/>
        <w:shd w:val="clear" w:color="auto" w:fill="FFFFFF"/>
        <w:spacing w:before="274" w:beforeAutospacing="0" w:after="206" w:afterAutospacing="0"/>
        <w:rPr>
          <w:b w:val="0"/>
          <w:bCs w:val="0"/>
          <w:color w:val="404040"/>
          <w:sz w:val="24"/>
          <w:szCs w:val="24"/>
        </w:rPr>
      </w:pPr>
      <w:r w:rsidRPr="00146ED7">
        <w:rPr>
          <w:rStyle w:val="Strong"/>
          <w:b/>
          <w:bCs/>
          <w:color w:val="404040"/>
          <w:sz w:val="24"/>
          <w:szCs w:val="24"/>
        </w:rPr>
        <w:t xml:space="preserve">Module 3: Funding &amp; Investor Relations </w:t>
      </w:r>
    </w:p>
    <w:p w:rsidR="00E66891" w:rsidRPr="00146ED7" w:rsidRDefault="00E66891" w:rsidP="00E66891">
      <w:pPr>
        <w:pStyle w:val="Heading4"/>
        <w:shd w:val="clear" w:color="auto" w:fill="FFFFFF"/>
        <w:spacing w:before="274" w:after="206" w:line="429" w:lineRule="atLeast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146ED7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Unit 3.1: Capital Strategy</w:t>
      </w:r>
    </w:p>
    <w:p w:rsidR="00E66891" w:rsidRPr="00146ED7" w:rsidRDefault="00E66891" w:rsidP="00247738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Bootstrapping vs. funding options</w:t>
      </w:r>
    </w:p>
    <w:p w:rsidR="00E66891" w:rsidRPr="00146ED7" w:rsidRDefault="00E66891" w:rsidP="00247738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SAFE/Convertible note structures</w:t>
      </w:r>
    </w:p>
    <w:p w:rsidR="00E66891" w:rsidRPr="00146ED7" w:rsidRDefault="00E66891" w:rsidP="00247738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Venture capital term sheets</w:t>
      </w:r>
    </w:p>
    <w:p w:rsidR="00E66891" w:rsidRPr="00146ED7" w:rsidRDefault="00E66891" w:rsidP="00247738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proofErr w:type="spellStart"/>
      <w:r w:rsidRPr="00146ED7">
        <w:rPr>
          <w:color w:val="404040"/>
        </w:rPr>
        <w:t>Crowdfunding</w:t>
      </w:r>
      <w:proofErr w:type="spellEnd"/>
      <w:r w:rsidRPr="00146ED7">
        <w:rPr>
          <w:color w:val="404040"/>
        </w:rPr>
        <w:t xml:space="preserve"> campaigns</w:t>
      </w:r>
    </w:p>
    <w:p w:rsidR="00E66891" w:rsidRPr="00146ED7" w:rsidRDefault="00E66891" w:rsidP="00E66891">
      <w:pPr>
        <w:pStyle w:val="Heading4"/>
        <w:shd w:val="clear" w:color="auto" w:fill="FFFFFF"/>
        <w:spacing w:before="274" w:after="206" w:line="429" w:lineRule="atLeast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146ED7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Unit 3.2: Pitching Mastery</w:t>
      </w:r>
    </w:p>
    <w:p w:rsidR="00E66891" w:rsidRPr="00146ED7" w:rsidRDefault="00E66891" w:rsidP="00247738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Storytelling frameworks</w:t>
      </w:r>
    </w:p>
    <w:p w:rsidR="00E66891" w:rsidRPr="00146ED7" w:rsidRDefault="00E66891" w:rsidP="00247738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Deck design principles</w:t>
      </w:r>
    </w:p>
    <w:p w:rsidR="00E66891" w:rsidRPr="00146ED7" w:rsidRDefault="00E66891" w:rsidP="00247738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Financial narrative development</w:t>
      </w:r>
    </w:p>
    <w:p w:rsidR="00E66891" w:rsidRPr="00146ED7" w:rsidRDefault="00E66891" w:rsidP="00247738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Q&amp;A preparation</w:t>
      </w:r>
    </w:p>
    <w:p w:rsidR="00E66891" w:rsidRPr="00146ED7" w:rsidRDefault="00E66891" w:rsidP="00E66891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146ED7">
        <w:rPr>
          <w:rStyle w:val="Strong"/>
          <w:color w:val="404040"/>
        </w:rPr>
        <w:t>Simulation:</w:t>
      </w:r>
      <w:r w:rsidRPr="00146ED7">
        <w:rPr>
          <w:color w:val="404040"/>
        </w:rPr>
        <w:t> Pitch to mock angel group and VC partners</w:t>
      </w:r>
    </w:p>
    <w:p w:rsidR="00E66891" w:rsidRPr="00146ED7" w:rsidRDefault="00E66891" w:rsidP="00E66891">
      <w:pPr>
        <w:pStyle w:val="Heading3"/>
        <w:shd w:val="clear" w:color="auto" w:fill="FFFFFF"/>
        <w:spacing w:before="274" w:beforeAutospacing="0" w:after="206" w:afterAutospacing="0"/>
        <w:rPr>
          <w:b w:val="0"/>
          <w:bCs w:val="0"/>
          <w:color w:val="404040"/>
          <w:sz w:val="24"/>
          <w:szCs w:val="24"/>
        </w:rPr>
      </w:pPr>
      <w:r w:rsidRPr="00146ED7">
        <w:rPr>
          <w:rStyle w:val="Strong"/>
          <w:b/>
          <w:bCs/>
          <w:color w:val="404040"/>
          <w:sz w:val="24"/>
          <w:szCs w:val="24"/>
        </w:rPr>
        <w:t xml:space="preserve">Module 4: Growth Execution </w:t>
      </w:r>
    </w:p>
    <w:p w:rsidR="00E66891" w:rsidRPr="00146ED7" w:rsidRDefault="00E66891" w:rsidP="00E66891">
      <w:pPr>
        <w:pStyle w:val="Heading4"/>
        <w:shd w:val="clear" w:color="auto" w:fill="FFFFFF"/>
        <w:spacing w:before="274" w:after="206" w:line="429" w:lineRule="atLeast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146ED7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Unit 4.1: Go-To-Market Strategies</w:t>
      </w:r>
    </w:p>
    <w:p w:rsidR="00E66891" w:rsidRPr="00146ED7" w:rsidRDefault="00E66891" w:rsidP="00247738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Customer acquisition costing</w:t>
      </w:r>
    </w:p>
    <w:p w:rsidR="00E66891" w:rsidRPr="00146ED7" w:rsidRDefault="00E66891" w:rsidP="00247738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Viral growth mechanisms</w:t>
      </w:r>
    </w:p>
    <w:p w:rsidR="00E66891" w:rsidRPr="00146ED7" w:rsidRDefault="00E66891" w:rsidP="00247738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Partnership development</w:t>
      </w:r>
    </w:p>
    <w:p w:rsidR="00E66891" w:rsidRPr="00146ED7" w:rsidRDefault="00E66891" w:rsidP="00247738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Channel strategies</w:t>
      </w:r>
    </w:p>
    <w:p w:rsidR="00E66891" w:rsidRPr="00146ED7" w:rsidRDefault="00E66891" w:rsidP="00E66891">
      <w:pPr>
        <w:pStyle w:val="Heading4"/>
        <w:shd w:val="clear" w:color="auto" w:fill="FFFFFF"/>
        <w:spacing w:before="274" w:after="206" w:line="429" w:lineRule="atLeast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146ED7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lastRenderedPageBreak/>
        <w:t>Unit 4.2: Operational Scaling</w:t>
      </w:r>
    </w:p>
    <w:p w:rsidR="00E66891" w:rsidRPr="00146ED7" w:rsidRDefault="00E66891" w:rsidP="00247738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Hiring frameworks</w:t>
      </w:r>
    </w:p>
    <w:p w:rsidR="00E66891" w:rsidRPr="00146ED7" w:rsidRDefault="00E66891" w:rsidP="00247738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Process documentation</w:t>
      </w:r>
    </w:p>
    <w:p w:rsidR="00E66891" w:rsidRPr="00146ED7" w:rsidRDefault="00E66891" w:rsidP="00247738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KPI dashboard creation</w:t>
      </w:r>
    </w:p>
    <w:p w:rsidR="00E66891" w:rsidRPr="00146ED7" w:rsidRDefault="00E66891" w:rsidP="00247738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Remote team management</w:t>
      </w:r>
    </w:p>
    <w:p w:rsidR="00E66891" w:rsidRPr="00146ED7" w:rsidRDefault="00E66891" w:rsidP="00E66891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146ED7">
        <w:rPr>
          <w:rStyle w:val="Strong"/>
          <w:color w:val="404040"/>
        </w:rPr>
        <w:t>Case Study:</w:t>
      </w:r>
      <w:r w:rsidRPr="00146ED7">
        <w:rPr>
          <w:color w:val="404040"/>
        </w:rPr>
        <w:t> Analyze 3 high-growth company scaling journeys</w:t>
      </w:r>
    </w:p>
    <w:p w:rsidR="00E66891" w:rsidRPr="00146ED7" w:rsidRDefault="00E66891" w:rsidP="00E66891">
      <w:pPr>
        <w:pStyle w:val="Heading3"/>
        <w:shd w:val="clear" w:color="auto" w:fill="FFFFFF"/>
        <w:spacing w:before="274" w:beforeAutospacing="0" w:after="206" w:afterAutospacing="0"/>
        <w:rPr>
          <w:b w:val="0"/>
          <w:bCs w:val="0"/>
          <w:color w:val="404040"/>
          <w:sz w:val="24"/>
          <w:szCs w:val="24"/>
        </w:rPr>
      </w:pPr>
      <w:r w:rsidRPr="00146ED7">
        <w:rPr>
          <w:rStyle w:val="Strong"/>
          <w:b/>
          <w:bCs/>
          <w:color w:val="404040"/>
          <w:sz w:val="24"/>
          <w:szCs w:val="24"/>
        </w:rPr>
        <w:t xml:space="preserve">Module 5: Exit Strategies </w:t>
      </w:r>
    </w:p>
    <w:p w:rsidR="00E66891" w:rsidRPr="00146ED7" w:rsidRDefault="00E66891" w:rsidP="00247738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Acquisition preparation</w:t>
      </w:r>
    </w:p>
    <w:p w:rsidR="00E66891" w:rsidRPr="00146ED7" w:rsidRDefault="00E66891" w:rsidP="00247738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IPO readiness</w:t>
      </w:r>
    </w:p>
    <w:p w:rsidR="00E66891" w:rsidRPr="00146ED7" w:rsidRDefault="00E66891" w:rsidP="00247738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Succession planning</w:t>
      </w:r>
    </w:p>
    <w:p w:rsidR="00E66891" w:rsidRPr="00146ED7" w:rsidRDefault="00E66891" w:rsidP="00247738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Liquidity options</w:t>
      </w:r>
    </w:p>
    <w:p w:rsidR="00E66891" w:rsidRPr="00146ED7" w:rsidRDefault="00E66891" w:rsidP="00E66891">
      <w:pPr>
        <w:pStyle w:val="Heading2"/>
        <w:shd w:val="clear" w:color="auto" w:fill="FFFFFF"/>
        <w:spacing w:before="274" w:after="206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146ED7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Capstone Project</w:t>
      </w:r>
    </w:p>
    <w:p w:rsidR="00E66891" w:rsidRPr="00146ED7" w:rsidRDefault="00E66891" w:rsidP="00E66891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146ED7">
        <w:rPr>
          <w:rStyle w:val="Strong"/>
          <w:color w:val="404040"/>
        </w:rPr>
        <w:t>Phase 1:</w:t>
      </w:r>
      <w:r w:rsidRPr="00146ED7">
        <w:rPr>
          <w:color w:val="404040"/>
        </w:rPr>
        <w:t> Develop complete business plan for original venture including:</w:t>
      </w:r>
    </w:p>
    <w:p w:rsidR="00E66891" w:rsidRPr="00146ED7" w:rsidRDefault="00E66891" w:rsidP="00247738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Market analysis</w:t>
      </w:r>
    </w:p>
    <w:p w:rsidR="00E66891" w:rsidRPr="00146ED7" w:rsidRDefault="00E66891" w:rsidP="00247738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Financial projections</w:t>
      </w:r>
    </w:p>
    <w:p w:rsidR="00E66891" w:rsidRPr="00146ED7" w:rsidRDefault="00E66891" w:rsidP="00247738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Risk assessment</w:t>
      </w:r>
    </w:p>
    <w:p w:rsidR="00E66891" w:rsidRPr="00146ED7" w:rsidRDefault="00E66891" w:rsidP="00247738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3-year roadmap</w:t>
      </w:r>
    </w:p>
    <w:p w:rsidR="00E66891" w:rsidRPr="00146ED7" w:rsidRDefault="00E66891" w:rsidP="00E66891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146ED7">
        <w:rPr>
          <w:rStyle w:val="Strong"/>
          <w:color w:val="404040"/>
        </w:rPr>
        <w:t>Phase 2:</w:t>
      </w:r>
      <w:r w:rsidRPr="00146ED7">
        <w:rPr>
          <w:color w:val="404040"/>
        </w:rPr>
        <w:t> Present to investor panel with Q&amp;A</w:t>
      </w:r>
    </w:p>
    <w:p w:rsidR="00E66891" w:rsidRPr="00146ED7" w:rsidRDefault="00E66891" w:rsidP="00E66891">
      <w:pPr>
        <w:pStyle w:val="Heading2"/>
        <w:shd w:val="clear" w:color="auto" w:fill="FFFFFF"/>
        <w:spacing w:before="274" w:after="206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146ED7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Unique Program Features</w:t>
      </w:r>
    </w:p>
    <w:p w:rsidR="00E66891" w:rsidRPr="00146ED7" w:rsidRDefault="00E66891" w:rsidP="00247738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rStyle w:val="Strong"/>
          <w:color w:val="404040"/>
        </w:rPr>
        <w:t>Mentor Matching:</w:t>
      </w:r>
      <w:r w:rsidRPr="00146ED7">
        <w:rPr>
          <w:color w:val="404040"/>
        </w:rPr>
        <w:t> 1:1 pairing with successful entrepreneurs</w:t>
      </w:r>
    </w:p>
    <w:p w:rsidR="00E66891" w:rsidRPr="00146ED7" w:rsidRDefault="00E66891" w:rsidP="00247738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rStyle w:val="Strong"/>
          <w:color w:val="404040"/>
        </w:rPr>
        <w:lastRenderedPageBreak/>
        <w:t>Legal Clinic:</w:t>
      </w:r>
      <w:r w:rsidRPr="00146ED7">
        <w:rPr>
          <w:color w:val="404040"/>
        </w:rPr>
        <w:t> Attorney office hours for contract review</w:t>
      </w:r>
    </w:p>
    <w:p w:rsidR="00E66891" w:rsidRPr="00146ED7" w:rsidRDefault="00E66891" w:rsidP="00247738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rStyle w:val="Strong"/>
          <w:color w:val="404040"/>
        </w:rPr>
        <w:t>Pitch Nights:</w:t>
      </w:r>
      <w:r w:rsidRPr="00146ED7">
        <w:rPr>
          <w:color w:val="404040"/>
        </w:rPr>
        <w:t> Monthly opportunities with real investors</w:t>
      </w:r>
    </w:p>
    <w:p w:rsidR="00E66891" w:rsidRPr="00146ED7" w:rsidRDefault="00E66891" w:rsidP="00247738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rStyle w:val="Strong"/>
          <w:color w:val="404040"/>
        </w:rPr>
        <w:t>Toolkit Access:</w:t>
      </w:r>
      <w:r w:rsidRPr="00146ED7">
        <w:rPr>
          <w:color w:val="404040"/>
        </w:rPr>
        <w:t> $5,000+ worth of premium business tools</w:t>
      </w:r>
    </w:p>
    <w:p w:rsidR="00E66891" w:rsidRPr="00146ED7" w:rsidRDefault="00E66891" w:rsidP="00E66891">
      <w:pPr>
        <w:pStyle w:val="Heading2"/>
        <w:shd w:val="clear" w:color="auto" w:fill="FFFFFF"/>
        <w:spacing w:before="274" w:after="206"/>
        <w:rPr>
          <w:rFonts w:ascii="Times New Roman" w:hAnsi="Times New Roman" w:cs="Times New Roman"/>
          <w:b w:val="0"/>
          <w:bCs w:val="0"/>
          <w:color w:val="404040"/>
          <w:sz w:val="24"/>
          <w:szCs w:val="24"/>
        </w:rPr>
      </w:pPr>
      <w:r w:rsidRPr="00146ED7">
        <w:rPr>
          <w:rStyle w:val="Strong"/>
          <w:rFonts w:ascii="Times New Roman" w:hAnsi="Times New Roman" w:cs="Times New Roman"/>
          <w:b/>
          <w:bCs/>
          <w:color w:val="404040"/>
          <w:sz w:val="24"/>
          <w:szCs w:val="24"/>
        </w:rPr>
        <w:t>Certification Requirements</w:t>
      </w:r>
    </w:p>
    <w:p w:rsidR="00E66891" w:rsidRPr="00146ED7" w:rsidRDefault="00E66891" w:rsidP="00247738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90% attendance</w:t>
      </w:r>
    </w:p>
    <w:p w:rsidR="00E66891" w:rsidRPr="00146ED7" w:rsidRDefault="00E66891" w:rsidP="00247738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85% competency score</w:t>
      </w:r>
    </w:p>
    <w:p w:rsidR="00E66891" w:rsidRPr="00146ED7" w:rsidRDefault="00E66891" w:rsidP="00247738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Capstone approval</w:t>
      </w:r>
    </w:p>
    <w:p w:rsidR="00E66891" w:rsidRPr="00146ED7" w:rsidRDefault="00E66891" w:rsidP="00247738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color w:val="404040"/>
        </w:rPr>
        <w:t>Ethics pledge</w:t>
      </w:r>
    </w:p>
    <w:p w:rsidR="00E66891" w:rsidRPr="00146ED7" w:rsidRDefault="00E66891" w:rsidP="00E66891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bookmarkStart w:id="0" w:name="_GoBack"/>
      <w:bookmarkEnd w:id="0"/>
      <w:r w:rsidRPr="00146ED7">
        <w:rPr>
          <w:rStyle w:val="Strong"/>
          <w:color w:val="404040"/>
        </w:rPr>
        <w:t>©</w:t>
      </w:r>
      <w:proofErr w:type="spellStart"/>
      <w:r w:rsidRPr="00146ED7">
        <w:rPr>
          <w:rStyle w:val="Strong"/>
          <w:color w:val="404040"/>
        </w:rPr>
        <w:t>Promuex</w:t>
      </w:r>
      <w:proofErr w:type="spellEnd"/>
      <w:r w:rsidRPr="00146ED7">
        <w:rPr>
          <w:rStyle w:val="Strong"/>
          <w:color w:val="404040"/>
        </w:rPr>
        <w:t xml:space="preserve"> | Building Tomorrow's Business Leaders</w:t>
      </w:r>
    </w:p>
    <w:p w:rsidR="00E66891" w:rsidRPr="00146ED7" w:rsidRDefault="00E66891" w:rsidP="00E66891">
      <w:pPr>
        <w:pStyle w:val="ds-markdown-paragraph"/>
        <w:shd w:val="clear" w:color="auto" w:fill="FFFFFF"/>
        <w:spacing w:before="206" w:beforeAutospacing="0" w:after="206" w:afterAutospacing="0" w:line="429" w:lineRule="atLeast"/>
        <w:rPr>
          <w:color w:val="404040"/>
        </w:rPr>
      </w:pPr>
      <w:r w:rsidRPr="00146ED7">
        <w:rPr>
          <w:color w:val="404040"/>
        </w:rPr>
        <w:t>This program stands out by combining:</w:t>
      </w:r>
    </w:p>
    <w:p w:rsidR="00E66891" w:rsidRPr="00146ED7" w:rsidRDefault="00E66891" w:rsidP="00247738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rStyle w:val="Strong"/>
          <w:color w:val="404040"/>
        </w:rPr>
        <w:t>Silicon Valley frameworks</w:t>
      </w:r>
      <w:r w:rsidRPr="00146ED7">
        <w:rPr>
          <w:color w:val="404040"/>
        </w:rPr>
        <w:t> with practical execution</w:t>
      </w:r>
    </w:p>
    <w:p w:rsidR="00E66891" w:rsidRPr="00146ED7" w:rsidRDefault="00E66891" w:rsidP="00247738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rStyle w:val="Strong"/>
          <w:color w:val="404040"/>
        </w:rPr>
        <w:t>Personalized mentorship</w:t>
      </w:r>
      <w:r w:rsidRPr="00146ED7">
        <w:rPr>
          <w:color w:val="404040"/>
        </w:rPr>
        <w:t> from serial entrepreneurs</w:t>
      </w:r>
    </w:p>
    <w:p w:rsidR="00E66891" w:rsidRPr="00146ED7" w:rsidRDefault="00E66891" w:rsidP="00247738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line="429" w:lineRule="atLeast"/>
        <w:ind w:left="0"/>
        <w:rPr>
          <w:color w:val="404040"/>
        </w:rPr>
      </w:pPr>
      <w:r w:rsidRPr="00146ED7">
        <w:rPr>
          <w:rStyle w:val="Strong"/>
          <w:color w:val="404040"/>
        </w:rPr>
        <w:t>Real investor access</w:t>
      </w:r>
      <w:r w:rsidRPr="00146ED7">
        <w:rPr>
          <w:color w:val="404040"/>
        </w:rPr>
        <w:t> through pitch events</w:t>
      </w:r>
    </w:p>
    <w:p w:rsidR="00553FEB" w:rsidRPr="00146ED7" w:rsidRDefault="00553FEB" w:rsidP="00E66891">
      <w:pPr>
        <w:pStyle w:val="Heading1"/>
        <w:shd w:val="clear" w:color="auto" w:fill="FFFFFF"/>
        <w:spacing w:after="206"/>
        <w:jc w:val="center"/>
        <w:rPr>
          <w:rFonts w:ascii="Times New Roman" w:hAnsi="Times New Roman" w:cs="Times New Roman"/>
          <w:sz w:val="24"/>
          <w:szCs w:val="24"/>
        </w:rPr>
      </w:pPr>
    </w:p>
    <w:sectPr w:rsidR="00553FEB" w:rsidRPr="00146ED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738" w:rsidRDefault="00247738" w:rsidP="00553FEB">
      <w:pPr>
        <w:spacing w:after="0" w:line="240" w:lineRule="auto"/>
      </w:pPr>
      <w:r>
        <w:separator/>
      </w:r>
    </w:p>
  </w:endnote>
  <w:endnote w:type="continuationSeparator" w:id="0">
    <w:p w:rsidR="00247738" w:rsidRDefault="00247738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B92AD0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</w:t>
    </w:r>
    <w:r w:rsidR="008F7CD3">
      <w:rPr>
        <w:rStyle w:val="Strong"/>
      </w:rPr>
      <w:t>Canada (</w:t>
    </w:r>
    <w:hyperlink r:id="rId1" w:tgtFrame="_new" w:history="1">
      <w:r w:rsidR="008F7CD3">
        <w:rPr>
          <w:rStyle w:val="Hyperlink"/>
          <w:b/>
          <w:bCs/>
        </w:rPr>
        <w:t>https://promuex.ca/</w:t>
      </w:r>
    </w:hyperlink>
    <w:r w:rsidR="008F7CD3"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738" w:rsidRDefault="00247738" w:rsidP="00553FEB">
      <w:pPr>
        <w:spacing w:after="0" w:line="240" w:lineRule="auto"/>
      </w:pPr>
      <w:r>
        <w:separator/>
      </w:r>
    </w:p>
  </w:footnote>
  <w:footnote w:type="continuationSeparator" w:id="0">
    <w:p w:rsidR="00247738" w:rsidRDefault="00247738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24773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24773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24773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250"/>
    <w:multiLevelType w:val="multilevel"/>
    <w:tmpl w:val="AD86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E5217B"/>
    <w:multiLevelType w:val="multilevel"/>
    <w:tmpl w:val="343A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8872DF"/>
    <w:multiLevelType w:val="multilevel"/>
    <w:tmpl w:val="2F1C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F277CE"/>
    <w:multiLevelType w:val="multilevel"/>
    <w:tmpl w:val="E6BA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EB2527"/>
    <w:multiLevelType w:val="multilevel"/>
    <w:tmpl w:val="1094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997EAB"/>
    <w:multiLevelType w:val="multilevel"/>
    <w:tmpl w:val="5172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A27006"/>
    <w:multiLevelType w:val="multilevel"/>
    <w:tmpl w:val="DF3C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F3001C"/>
    <w:multiLevelType w:val="multilevel"/>
    <w:tmpl w:val="D51C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C23336"/>
    <w:multiLevelType w:val="multilevel"/>
    <w:tmpl w:val="923A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49106B"/>
    <w:multiLevelType w:val="multilevel"/>
    <w:tmpl w:val="2BA6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01071D"/>
    <w:multiLevelType w:val="multilevel"/>
    <w:tmpl w:val="4598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840F9A"/>
    <w:multiLevelType w:val="multilevel"/>
    <w:tmpl w:val="7924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803F38"/>
    <w:multiLevelType w:val="multilevel"/>
    <w:tmpl w:val="F6386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A00264"/>
    <w:multiLevelType w:val="multilevel"/>
    <w:tmpl w:val="A7BE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9"/>
  </w:num>
  <w:num w:numId="5">
    <w:abstractNumId w:val="6"/>
  </w:num>
  <w:num w:numId="6">
    <w:abstractNumId w:val="10"/>
  </w:num>
  <w:num w:numId="7">
    <w:abstractNumId w:val="4"/>
  </w:num>
  <w:num w:numId="8">
    <w:abstractNumId w:val="0"/>
  </w:num>
  <w:num w:numId="9">
    <w:abstractNumId w:val="2"/>
  </w:num>
  <w:num w:numId="10">
    <w:abstractNumId w:val="1"/>
  </w:num>
  <w:num w:numId="11">
    <w:abstractNumId w:val="5"/>
  </w:num>
  <w:num w:numId="12">
    <w:abstractNumId w:val="13"/>
  </w:num>
  <w:num w:numId="13">
    <w:abstractNumId w:val="7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146ED7"/>
    <w:rsid w:val="00205A9E"/>
    <w:rsid w:val="002209AE"/>
    <w:rsid w:val="002250CA"/>
    <w:rsid w:val="00231EFF"/>
    <w:rsid w:val="00247738"/>
    <w:rsid w:val="0040795A"/>
    <w:rsid w:val="004317C7"/>
    <w:rsid w:val="00461EC4"/>
    <w:rsid w:val="004C2BB4"/>
    <w:rsid w:val="005148B4"/>
    <w:rsid w:val="00553FEB"/>
    <w:rsid w:val="00560375"/>
    <w:rsid w:val="005E28E3"/>
    <w:rsid w:val="0069592A"/>
    <w:rsid w:val="0072064D"/>
    <w:rsid w:val="00745FE9"/>
    <w:rsid w:val="00876195"/>
    <w:rsid w:val="008A28F7"/>
    <w:rsid w:val="008F7CD3"/>
    <w:rsid w:val="00901F86"/>
    <w:rsid w:val="00A50EEE"/>
    <w:rsid w:val="00B92AD0"/>
    <w:rsid w:val="00BC583E"/>
    <w:rsid w:val="00BF77A3"/>
    <w:rsid w:val="00CB3F58"/>
    <w:rsid w:val="00D07EC0"/>
    <w:rsid w:val="00D346F0"/>
    <w:rsid w:val="00D531D1"/>
    <w:rsid w:val="00D868A4"/>
    <w:rsid w:val="00E66891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64D"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s-markdown-paragraph">
    <w:name w:val="ds-markdown-paragraph"/>
    <w:basedOn w:val="Normal"/>
    <w:rsid w:val="0072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64D"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s-markdown-paragraph">
    <w:name w:val="ds-markdown-paragraph"/>
    <w:basedOn w:val="Normal"/>
    <w:rsid w:val="0072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4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3</cp:revision>
  <dcterms:created xsi:type="dcterms:W3CDTF">2025-05-23T07:54:00Z</dcterms:created>
  <dcterms:modified xsi:type="dcterms:W3CDTF">2025-05-23T07:55:00Z</dcterms:modified>
</cp:coreProperties>
</file>